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02E1" w:rsidRPr="00497CBB" w:rsidRDefault="009C02E1" w:rsidP="009C02E1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 xml:space="preserve">Załącznik nr </w:t>
      </w:r>
      <w:r w:rsidR="00C638D3">
        <w:rPr>
          <w:rFonts w:ascii="Century Gothic" w:hAnsi="Century Gothic"/>
          <w:i/>
          <w:sz w:val="20"/>
          <w:szCs w:val="20"/>
        </w:rPr>
        <w:t>3</w:t>
      </w:r>
    </w:p>
    <w:p w:rsidR="009C02E1" w:rsidRDefault="009C02E1" w:rsidP="009C02E1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9C02E1" w:rsidRPr="00EA40B9" w:rsidRDefault="009C02E1" w:rsidP="009C02E1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885664">
        <w:rPr>
          <w:rFonts w:ascii="Century Gothic" w:hAnsi="Century Gothic"/>
          <w:b/>
          <w:color w:val="000000"/>
          <w:sz w:val="20"/>
          <w:szCs w:val="20"/>
        </w:rPr>
        <w:t>01/11</w:t>
      </w:r>
      <w:r>
        <w:rPr>
          <w:rFonts w:ascii="Century Gothic" w:hAnsi="Century Gothic"/>
          <w:b/>
          <w:color w:val="000000"/>
          <w:sz w:val="20"/>
          <w:szCs w:val="20"/>
        </w:rPr>
        <w:t>/2025/SSE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„Szkoły sukcesu edukacyjnego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</w:t>
      </w:r>
      <w:r w:rsidR="006C59D7">
        <w:rPr>
          <w:rFonts w:ascii="Century Gothic" w:hAnsi="Century Gothic"/>
          <w:color w:val="000000"/>
          <w:sz w:val="20"/>
          <w:szCs w:val="20"/>
        </w:rPr>
        <w:t> </w:t>
      </w:r>
      <w:r>
        <w:rPr>
          <w:rFonts w:ascii="Century Gothic" w:hAnsi="Century Gothic"/>
          <w:color w:val="000000"/>
          <w:sz w:val="20"/>
          <w:szCs w:val="20"/>
        </w:rPr>
        <w:t xml:space="preserve">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9C02E1" w:rsidRDefault="009C02E1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</w:p>
    <w:p w:rsidR="009C02E1" w:rsidRDefault="009C02E1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  <w:r w:rsidRPr="0026264F">
        <w:rPr>
          <w:rFonts w:ascii="Century Gothic" w:hAnsi="Century Gothic"/>
          <w:b/>
          <w:sz w:val="20"/>
          <w:szCs w:val="20"/>
        </w:rPr>
        <w:t>SZCZEGÓŁOWY OPIS PRZEDMIOTU ZAMÓWIENIA:</w:t>
      </w:r>
    </w:p>
    <w:p w:rsidR="00D41463" w:rsidRDefault="00D41463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</w:p>
    <w:p w:rsidR="00D41463" w:rsidRPr="00D41463" w:rsidRDefault="00D41463" w:rsidP="00D41463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bookmarkStart w:id="0" w:name="_Hlk215145547"/>
      <w:r w:rsidRPr="00D41463">
        <w:rPr>
          <w:rFonts w:ascii="Century Gothic" w:hAnsi="Century Gothic"/>
          <w:sz w:val="20"/>
          <w:szCs w:val="20"/>
        </w:rPr>
        <w:t>Zakup jest dokonywany na rzecz II Liceum Ogólnokształcące im. Stefana Banacha w Świdnicy, ul. Równa 11, 58-100 Świdnica.</w:t>
      </w:r>
    </w:p>
    <w:bookmarkEnd w:id="0"/>
    <w:p w:rsidR="001812C2" w:rsidRDefault="001812C2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</w:p>
    <w:p w:rsidR="00D41463" w:rsidRPr="001812C2" w:rsidRDefault="001812C2" w:rsidP="001812C2">
      <w:pPr>
        <w:spacing w:after="0" w:line="240" w:lineRule="auto"/>
        <w:rPr>
          <w:rFonts w:ascii="Century Gothic" w:hAnsi="Century Gothic"/>
          <w:sz w:val="20"/>
          <w:szCs w:val="20"/>
        </w:rPr>
      </w:pPr>
      <w:bookmarkStart w:id="1" w:name="_Hlk215145617"/>
      <w:r w:rsidRPr="001812C2">
        <w:rPr>
          <w:rFonts w:ascii="Century Gothic" w:hAnsi="Century Gothic"/>
          <w:sz w:val="20"/>
          <w:szCs w:val="20"/>
        </w:rPr>
        <w:t xml:space="preserve"> </w:t>
      </w:r>
      <w:r>
        <w:rPr>
          <w:rFonts w:ascii="Century Gothic" w:hAnsi="Century Gothic"/>
          <w:sz w:val="20"/>
          <w:szCs w:val="20"/>
        </w:rPr>
        <w:t>Bezterminowy d</w:t>
      </w:r>
      <w:r w:rsidRPr="001812C2">
        <w:rPr>
          <w:rFonts w:ascii="Century Gothic" w:hAnsi="Century Gothic"/>
          <w:sz w:val="20"/>
          <w:szCs w:val="20"/>
        </w:rPr>
        <w:t xml:space="preserve">ostęp do programu </w:t>
      </w:r>
      <w:r>
        <w:rPr>
          <w:rFonts w:ascii="Century Gothic" w:hAnsi="Century Gothic"/>
          <w:sz w:val="20"/>
          <w:szCs w:val="20"/>
        </w:rPr>
        <w:t>z min. 15 licencjami</w:t>
      </w:r>
    </w:p>
    <w:p w:rsidR="001812C2" w:rsidRPr="001812C2" w:rsidRDefault="001812C2" w:rsidP="001812C2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1812C2">
        <w:rPr>
          <w:rFonts w:ascii="Century Gothic" w:hAnsi="Century Gothic"/>
          <w:sz w:val="20"/>
          <w:szCs w:val="20"/>
        </w:rPr>
        <w:t xml:space="preserve"> </w:t>
      </w:r>
      <w:r>
        <w:rPr>
          <w:rFonts w:ascii="Century Gothic" w:hAnsi="Century Gothic"/>
          <w:sz w:val="20"/>
          <w:szCs w:val="20"/>
        </w:rPr>
        <w:t>Min. d</w:t>
      </w:r>
      <w:r w:rsidRPr="001812C2">
        <w:rPr>
          <w:rFonts w:ascii="Century Gothic" w:hAnsi="Century Gothic"/>
          <w:sz w:val="20"/>
          <w:szCs w:val="20"/>
        </w:rPr>
        <w:t>wa klucze aktywacyjne (</w:t>
      </w:r>
      <w:proofErr w:type="spellStart"/>
      <w:r w:rsidRPr="001812C2">
        <w:rPr>
          <w:rFonts w:ascii="Century Gothic" w:hAnsi="Century Gothic"/>
          <w:sz w:val="20"/>
          <w:szCs w:val="20"/>
        </w:rPr>
        <w:t>Activation</w:t>
      </w:r>
      <w:proofErr w:type="spellEnd"/>
      <w:r w:rsidRPr="001812C2">
        <w:rPr>
          <w:rFonts w:ascii="Century Gothic" w:hAnsi="Century Gothic"/>
          <w:sz w:val="20"/>
          <w:szCs w:val="20"/>
        </w:rPr>
        <w:t xml:space="preserve"> </w:t>
      </w:r>
      <w:proofErr w:type="spellStart"/>
      <w:r w:rsidRPr="001812C2">
        <w:rPr>
          <w:rFonts w:ascii="Century Gothic" w:hAnsi="Century Gothic"/>
          <w:sz w:val="20"/>
          <w:szCs w:val="20"/>
        </w:rPr>
        <w:t>Keys</w:t>
      </w:r>
      <w:proofErr w:type="spellEnd"/>
      <w:r w:rsidRPr="001812C2">
        <w:rPr>
          <w:rFonts w:ascii="Century Gothic" w:hAnsi="Century Gothic"/>
          <w:sz w:val="20"/>
          <w:szCs w:val="20"/>
        </w:rPr>
        <w:t>) do instalacji na komputerach jednego użytkownika aktywne</w:t>
      </w:r>
      <w:r>
        <w:rPr>
          <w:rFonts w:ascii="Century Gothic" w:hAnsi="Century Gothic"/>
          <w:sz w:val="20"/>
          <w:szCs w:val="20"/>
        </w:rPr>
        <w:t xml:space="preserve"> </w:t>
      </w:r>
      <w:r w:rsidRPr="001812C2">
        <w:rPr>
          <w:rFonts w:ascii="Century Gothic" w:hAnsi="Century Gothic"/>
          <w:sz w:val="20"/>
          <w:szCs w:val="20"/>
        </w:rPr>
        <w:t>bezterminowo</w:t>
      </w:r>
    </w:p>
    <w:p w:rsidR="001812C2" w:rsidRPr="001812C2" w:rsidRDefault="001812C2" w:rsidP="001812C2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1812C2">
        <w:rPr>
          <w:rFonts w:ascii="Century Gothic" w:hAnsi="Century Gothic"/>
          <w:sz w:val="20"/>
          <w:szCs w:val="20"/>
        </w:rPr>
        <w:t xml:space="preserve"> Wszelkie aktualizacje oraz dostęp do </w:t>
      </w:r>
      <w:r>
        <w:rPr>
          <w:rFonts w:ascii="Century Gothic" w:hAnsi="Century Gothic"/>
          <w:sz w:val="20"/>
          <w:szCs w:val="20"/>
        </w:rPr>
        <w:t xml:space="preserve"> programu</w:t>
      </w:r>
      <w:r w:rsidRPr="001812C2">
        <w:rPr>
          <w:rFonts w:ascii="Century Gothic" w:hAnsi="Century Gothic"/>
          <w:sz w:val="20"/>
          <w:szCs w:val="20"/>
        </w:rPr>
        <w:t xml:space="preserve"> Online (możliwość pracy w chmurze) w okresie </w:t>
      </w:r>
      <w:r>
        <w:rPr>
          <w:rFonts w:ascii="Century Gothic" w:hAnsi="Century Gothic"/>
          <w:sz w:val="20"/>
          <w:szCs w:val="20"/>
        </w:rPr>
        <w:t xml:space="preserve">min. </w:t>
      </w:r>
      <w:r w:rsidRPr="001812C2">
        <w:rPr>
          <w:rFonts w:ascii="Century Gothic" w:hAnsi="Century Gothic"/>
          <w:sz w:val="20"/>
          <w:szCs w:val="20"/>
        </w:rPr>
        <w:t>12 miesięcy</w:t>
      </w:r>
    </w:p>
    <w:p w:rsidR="001812C2" w:rsidRPr="001812C2" w:rsidRDefault="001812C2" w:rsidP="001812C2">
      <w:pPr>
        <w:spacing w:after="0" w:line="240" w:lineRule="auto"/>
        <w:rPr>
          <w:rFonts w:ascii="Century Gothic" w:hAnsi="Century Gothic"/>
          <w:sz w:val="20"/>
          <w:szCs w:val="20"/>
        </w:rPr>
      </w:pPr>
      <w:r w:rsidRPr="001812C2">
        <w:rPr>
          <w:rFonts w:ascii="Century Gothic" w:hAnsi="Century Gothic"/>
          <w:sz w:val="20"/>
          <w:szCs w:val="20"/>
        </w:rPr>
        <w:t xml:space="preserve"> Bezpłatną pomoc techniczną (via e-mail i telefon) </w:t>
      </w:r>
    </w:p>
    <w:p w:rsidR="001812C2" w:rsidRPr="001812C2" w:rsidRDefault="001812C2" w:rsidP="001812C2">
      <w:pPr>
        <w:spacing w:after="0" w:line="240" w:lineRule="auto"/>
        <w:rPr>
          <w:rFonts w:ascii="Century Gothic" w:hAnsi="Century Gothic"/>
          <w:sz w:val="20"/>
          <w:szCs w:val="20"/>
        </w:rPr>
      </w:pPr>
      <w:bookmarkStart w:id="2" w:name="_GoBack"/>
      <w:bookmarkEnd w:id="1"/>
      <w:bookmarkEnd w:id="2"/>
    </w:p>
    <w:p w:rsidR="0004361B" w:rsidRPr="003877AD" w:rsidRDefault="0004361B" w:rsidP="0004361B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3877AD">
        <w:rPr>
          <w:rFonts w:ascii="Century Gothic" w:hAnsi="Century Gothic"/>
          <w:b/>
          <w:sz w:val="20"/>
          <w:szCs w:val="20"/>
        </w:rPr>
        <w:t>Specyfikacja techniczna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Program będący środowiskiem realizacji zaawansowanych obliczeń matematycznych z bogatymi możliwościami graficznych prezentacji danych oraz strukturami pozwalającymi na tworzenie własnych aplikacji i interaktywnych dokumentów. Wyposażone we własny język programowania środowisko tworzenia interaktywnych aplikacji łączących obliczenia numeryczne, symboliczne, wizualizacje graficzne 2D i 3D, dających dostępu bezpośrednio z poziomu programu do baz naukowych oraz systemów LLM (</w:t>
      </w:r>
      <w:proofErr w:type="spellStart"/>
      <w:r w:rsidRPr="0004361B">
        <w:rPr>
          <w:rFonts w:ascii="Century Gothic" w:hAnsi="Century Gothic"/>
          <w:sz w:val="20"/>
          <w:szCs w:val="20"/>
        </w:rPr>
        <w:t>Large</w:t>
      </w:r>
      <w:proofErr w:type="spellEnd"/>
      <w:r w:rsidRPr="0004361B">
        <w:rPr>
          <w:rFonts w:ascii="Century Gothic" w:hAnsi="Century Gothic"/>
          <w:sz w:val="20"/>
          <w:szCs w:val="20"/>
        </w:rPr>
        <w:t xml:space="preserve"> Language </w:t>
      </w:r>
      <w:proofErr w:type="spellStart"/>
      <w:r w:rsidRPr="0004361B">
        <w:rPr>
          <w:rFonts w:ascii="Century Gothic" w:hAnsi="Century Gothic"/>
          <w:sz w:val="20"/>
          <w:szCs w:val="20"/>
        </w:rPr>
        <w:t>Models</w:t>
      </w:r>
      <w:proofErr w:type="spellEnd"/>
      <w:r w:rsidRPr="0004361B">
        <w:rPr>
          <w:rFonts w:ascii="Century Gothic" w:hAnsi="Century Gothic"/>
          <w:sz w:val="20"/>
          <w:szCs w:val="20"/>
        </w:rPr>
        <w:t>) pozwalających integrować środowisko programu z zewnętrznymi systemami sztucznej inteligencji.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Program </w:t>
      </w:r>
      <w:r w:rsidR="003877AD">
        <w:rPr>
          <w:rFonts w:ascii="Century Gothic" w:hAnsi="Century Gothic"/>
          <w:sz w:val="20"/>
          <w:szCs w:val="20"/>
        </w:rPr>
        <w:t xml:space="preserve">powinien </w:t>
      </w:r>
      <w:r w:rsidRPr="0004361B">
        <w:rPr>
          <w:rFonts w:ascii="Century Gothic" w:hAnsi="Century Gothic"/>
          <w:sz w:val="20"/>
          <w:szCs w:val="20"/>
        </w:rPr>
        <w:t>zapewnia</w:t>
      </w:r>
      <w:r w:rsidR="003877AD">
        <w:rPr>
          <w:rFonts w:ascii="Century Gothic" w:hAnsi="Century Gothic"/>
          <w:sz w:val="20"/>
          <w:szCs w:val="20"/>
        </w:rPr>
        <w:t>ć</w:t>
      </w:r>
      <w:r w:rsidRPr="0004361B">
        <w:rPr>
          <w:rFonts w:ascii="Century Gothic" w:hAnsi="Century Gothic"/>
          <w:sz w:val="20"/>
          <w:szCs w:val="20"/>
        </w:rPr>
        <w:t xml:space="preserve"> wydajny sposób obsługi tabel złożonych z danych różnego typu, ułożonych w wierszach i kolumnach. Oprogramowanie </w:t>
      </w:r>
      <w:r w:rsidR="003877AD">
        <w:rPr>
          <w:rFonts w:ascii="Century Gothic" w:hAnsi="Century Gothic"/>
          <w:sz w:val="20"/>
          <w:szCs w:val="20"/>
        </w:rPr>
        <w:t xml:space="preserve">powinno </w:t>
      </w:r>
      <w:r w:rsidRPr="0004361B">
        <w:rPr>
          <w:rFonts w:ascii="Century Gothic" w:hAnsi="Century Gothic"/>
          <w:sz w:val="20"/>
          <w:szCs w:val="20"/>
        </w:rPr>
        <w:t>posiada</w:t>
      </w:r>
      <w:r w:rsidR="003877AD">
        <w:rPr>
          <w:rFonts w:ascii="Century Gothic" w:hAnsi="Century Gothic"/>
          <w:sz w:val="20"/>
          <w:szCs w:val="20"/>
        </w:rPr>
        <w:t>ć</w:t>
      </w:r>
      <w:r w:rsidRPr="0004361B">
        <w:rPr>
          <w:rFonts w:ascii="Century Gothic" w:hAnsi="Century Gothic"/>
          <w:sz w:val="20"/>
          <w:szCs w:val="20"/>
        </w:rPr>
        <w:t xml:space="preserve"> zestaw funkcji w celu wykorzystania tego typu struktur danych i ich specjalnych cech.</w:t>
      </w:r>
    </w:p>
    <w:p w:rsidR="0004361B" w:rsidRDefault="003877AD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</w:t>
      </w:r>
      <w:r w:rsidR="0004361B" w:rsidRPr="0004361B">
        <w:rPr>
          <w:rFonts w:ascii="Century Gothic" w:hAnsi="Century Gothic"/>
          <w:sz w:val="20"/>
          <w:szCs w:val="20"/>
        </w:rPr>
        <w:t xml:space="preserve">programowania </w:t>
      </w:r>
      <w:r>
        <w:rPr>
          <w:rFonts w:ascii="Century Gothic" w:hAnsi="Century Gothic"/>
          <w:sz w:val="20"/>
          <w:szCs w:val="20"/>
        </w:rPr>
        <w:t xml:space="preserve">powinno </w:t>
      </w:r>
      <w:r w:rsidR="0004361B" w:rsidRPr="0004361B">
        <w:rPr>
          <w:rFonts w:ascii="Century Gothic" w:hAnsi="Century Gothic"/>
          <w:sz w:val="20"/>
          <w:szCs w:val="20"/>
        </w:rPr>
        <w:t>zawiera</w:t>
      </w:r>
      <w:r>
        <w:rPr>
          <w:rFonts w:ascii="Century Gothic" w:hAnsi="Century Gothic"/>
          <w:sz w:val="20"/>
          <w:szCs w:val="20"/>
        </w:rPr>
        <w:t>ć</w:t>
      </w:r>
      <w:r w:rsidR="0004361B" w:rsidRPr="0004361B">
        <w:rPr>
          <w:rFonts w:ascii="Century Gothic" w:hAnsi="Century Gothic"/>
          <w:sz w:val="20"/>
          <w:szCs w:val="20"/>
        </w:rPr>
        <w:t xml:space="preserve"> procedury i funkcje z zakresu: teorii gier, sieci neuronowych, obliczeń z użyciem GPU, analiz wideo, obrazu i dźwięku.</w:t>
      </w:r>
    </w:p>
    <w:p w:rsidR="0004361B" w:rsidRPr="003877AD" w:rsidRDefault="003877AD" w:rsidP="0004361B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3877AD">
        <w:rPr>
          <w:rFonts w:ascii="Century Gothic" w:hAnsi="Century Gothic"/>
          <w:b/>
          <w:sz w:val="20"/>
          <w:szCs w:val="20"/>
        </w:rPr>
        <w:t xml:space="preserve">1. </w:t>
      </w:r>
      <w:r w:rsidR="0004361B" w:rsidRPr="003877AD">
        <w:rPr>
          <w:rFonts w:ascii="Century Gothic" w:hAnsi="Century Gothic"/>
          <w:b/>
          <w:sz w:val="20"/>
          <w:szCs w:val="20"/>
        </w:rPr>
        <w:t>Główne funkcjonalności: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Interfejs i praca z dokumentem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Tworzenie dokumentów łączących tekst, wykresy, grafikę, wzory matematyczne, sekwencje obliczeniowe i elementy interaktywne, w jakości gotowej do publikacji z możliwością ich wykorzystania na dowolnej platformie sprzętowej (Windows, Linux, Mac).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Możliwość elektronicznej wymiany dokumentacji, a struktura dokumentu </w:t>
      </w:r>
      <w:r w:rsidR="003877AD">
        <w:rPr>
          <w:rFonts w:ascii="Century Gothic" w:hAnsi="Century Gothic"/>
          <w:sz w:val="20"/>
          <w:szCs w:val="20"/>
        </w:rPr>
        <w:t xml:space="preserve">powinna </w:t>
      </w:r>
      <w:r w:rsidRPr="0004361B">
        <w:rPr>
          <w:rFonts w:ascii="Century Gothic" w:hAnsi="Century Gothic"/>
          <w:sz w:val="20"/>
          <w:szCs w:val="20"/>
        </w:rPr>
        <w:t>pozwala</w:t>
      </w:r>
      <w:r w:rsidR="003877AD">
        <w:rPr>
          <w:rFonts w:ascii="Century Gothic" w:hAnsi="Century Gothic"/>
          <w:sz w:val="20"/>
          <w:szCs w:val="20"/>
        </w:rPr>
        <w:t>ć</w:t>
      </w:r>
      <w:r w:rsidRPr="0004361B">
        <w:rPr>
          <w:rFonts w:ascii="Century Gothic" w:hAnsi="Century Gothic"/>
          <w:sz w:val="20"/>
          <w:szCs w:val="20"/>
        </w:rPr>
        <w:t xml:space="preserve"> bezproblemowo wymienić dokumenty w ramach sieci Internet i uruchamiać je na dowolnej platformie sprzętowej.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Struktura i treść dokumentu stworzonego w programie zapisywana w całości w symbolicznym języku programowania.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Angielska wersja językowa interfejsu użytkownika z polskojęzycznym tłumaczeniem komend i sprawdzaniem pisowni języka polskiego.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Tworzenie dokumentów elektronicznych zawierających elementy interaktywne pozwalające ingerować </w:t>
      </w:r>
      <w:r w:rsidRPr="0004361B">
        <w:rPr>
          <w:rFonts w:ascii="Century Gothic" w:hAnsi="Century Gothic"/>
          <w:sz w:val="20"/>
          <w:szCs w:val="20"/>
        </w:rPr>
        <w:lastRenderedPageBreak/>
        <w:t>zarówno w treść wizualizacji jak i w realizowany w dokumencie proces obliczeniowy.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zapisu dokumentu w formacie TEX oraz HTML/</w:t>
      </w:r>
      <w:proofErr w:type="spellStart"/>
      <w:r w:rsidRPr="0004361B">
        <w:rPr>
          <w:rFonts w:ascii="Century Gothic" w:hAnsi="Century Gothic"/>
          <w:sz w:val="20"/>
          <w:szCs w:val="20"/>
        </w:rPr>
        <w:t>MathML</w:t>
      </w:r>
      <w:proofErr w:type="spellEnd"/>
      <w:r w:rsidRPr="0004361B">
        <w:rPr>
          <w:rFonts w:ascii="Century Gothic" w:hAnsi="Century Gothic"/>
          <w:sz w:val="20"/>
          <w:szCs w:val="20"/>
        </w:rPr>
        <w:t>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użycia tradycyjnej notacji matematycznej na wyjściu i wejściu komend.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Rozbudowane palety symboli i możliwość tworzenia palet własnych użytkownika.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Wszechstronne procedury eksportu i importu danych w praktycznie wszystkich powszechnie stosowanych formatach danych.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Swobodna składnia w zapisie poleceń.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Generowanie quizów z wybranego zakresu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Chat-</w:t>
      </w:r>
      <w:proofErr w:type="spellStart"/>
      <w:r w:rsidRPr="0004361B">
        <w:rPr>
          <w:rFonts w:ascii="Century Gothic" w:hAnsi="Century Gothic"/>
          <w:sz w:val="20"/>
          <w:szCs w:val="20"/>
        </w:rPr>
        <w:t>Driven</w:t>
      </w:r>
      <w:proofErr w:type="spellEnd"/>
      <w:r w:rsidRPr="0004361B">
        <w:rPr>
          <w:rFonts w:ascii="Century Gothic" w:hAnsi="Century Gothic"/>
          <w:sz w:val="20"/>
          <w:szCs w:val="20"/>
        </w:rPr>
        <w:t xml:space="preserve"> Notebook, element struktury dokumentu odpowiedzialny za komunikację z LLM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Asystent AI, który przekształca wprowadzone polecenia konwersacyjne w precyzyjne komendy języka wykorzystywanego w oferowanym oprogramowaniu (uzyskanie dostępu do asystenta jest opcją dodatkowo płatną).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Tryb ciemny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tworzenia prezentacji</w:t>
      </w:r>
    </w:p>
    <w:p w:rsid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Nawigacja dokumentacji</w:t>
      </w:r>
    </w:p>
    <w:p w:rsidR="0004361B" w:rsidRPr="003877AD" w:rsidRDefault="003877AD" w:rsidP="0004361B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3877AD">
        <w:rPr>
          <w:rFonts w:ascii="Century Gothic" w:hAnsi="Century Gothic"/>
          <w:b/>
          <w:sz w:val="20"/>
          <w:szCs w:val="20"/>
        </w:rPr>
        <w:t xml:space="preserve">2. </w:t>
      </w:r>
      <w:r w:rsidR="0004361B" w:rsidRPr="003877AD">
        <w:rPr>
          <w:rFonts w:ascii="Century Gothic" w:hAnsi="Century Gothic"/>
          <w:b/>
          <w:sz w:val="20"/>
          <w:szCs w:val="20"/>
        </w:rPr>
        <w:t>Realizacja obliczeń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Realizacja pełnego zakresu obliczeń symbolicznych i numerycznych, bez konieczności uzupełniania środowiska o dodatkowe moduły, czy biblioteki.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Obliczenia numeryczne mogą być realizowane z dowolnie dużą, niezależną od sprzętu komputerowego dokładnością, a program śledzi liczbę cyfr znaczących wyników obliczeń.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System przeliczania jednostek fizycznych.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Zaawansowane algorytmy przetwarzania obrazów.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Algorytmu uczenia maszyn i sztucznej inteligencji stosowane do danych dowolnego typu (wyrażenia arytmetyczne, tekst, obraz, dźwięk, film) i o dowolnej strukturze.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Zaawansowane funkcje i interaktywne wykresy finansowe.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Narzędzia do analizy układów dynamicznych.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Automatyczny dobór najlepszego algorytmu do rozwiązania zadanego problemu (rozwiązywanie równań algebraicznych, równań różniczkowych, całkowanie, dopasowanie liniowej i nieliniowe krzywych i powierzchni, zagadnienia optymalizacyjne, itp.)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Rozbudowane zbiory funkcji do cyfrowego przetwarzania i analizy obrazów, dźwięku, tekstu i sekwencji video.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Procedury analizy </w:t>
      </w:r>
      <w:proofErr w:type="spellStart"/>
      <w:r w:rsidRPr="0004361B">
        <w:rPr>
          <w:rFonts w:ascii="Century Gothic" w:hAnsi="Century Gothic"/>
          <w:sz w:val="20"/>
          <w:szCs w:val="20"/>
        </w:rPr>
        <w:t>falkowej</w:t>
      </w:r>
      <w:proofErr w:type="spellEnd"/>
      <w:r w:rsidRPr="0004361B">
        <w:rPr>
          <w:rFonts w:ascii="Century Gothic" w:hAnsi="Century Gothic"/>
          <w:sz w:val="20"/>
          <w:szCs w:val="20"/>
        </w:rPr>
        <w:t xml:space="preserve">, sieci neuronowych, uczenia maszyn, sztucznej inteligencji i obsługi struktur </w:t>
      </w:r>
      <w:proofErr w:type="spellStart"/>
      <w:r w:rsidRPr="0004361B">
        <w:rPr>
          <w:rFonts w:ascii="Century Gothic" w:hAnsi="Century Gothic"/>
          <w:sz w:val="20"/>
          <w:szCs w:val="20"/>
        </w:rPr>
        <w:t>BigData</w:t>
      </w:r>
      <w:proofErr w:type="spellEnd"/>
      <w:r w:rsidRPr="0004361B">
        <w:rPr>
          <w:rFonts w:ascii="Century Gothic" w:hAnsi="Century Gothic"/>
          <w:sz w:val="20"/>
          <w:szCs w:val="20"/>
        </w:rPr>
        <w:t>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Realizacja obliczeń równoległych z automatycznym skalowaniem do konfiguracji sprzętu i liczby dostępnych rdzeni obliczeniowych.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lastRenderedPageBreak/>
        <w:t> Automatyczne zrównoleglanie wybranej klasy algorytmów obliczeń numerycznych i automatyczne inicjowanie obliczeń równoległych po zidentyfikowaniu odpowiedniego środowiska sprzętowego.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Moduł obliczeń równoległych jest integralną częścią środowiska i nie wymaga żadnych dodatkowych modułów ani ponoszenia dodatkowych kosztów.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Możliwość wykorzystujących procesor karty graficznej GPU oraz technologię CUDA i środowisko </w:t>
      </w:r>
      <w:proofErr w:type="spellStart"/>
      <w:r w:rsidRPr="0004361B">
        <w:rPr>
          <w:rFonts w:ascii="Century Gothic" w:hAnsi="Century Gothic"/>
          <w:sz w:val="20"/>
          <w:szCs w:val="20"/>
        </w:rPr>
        <w:t>OpenCL</w:t>
      </w:r>
      <w:proofErr w:type="spellEnd"/>
      <w:r w:rsidRPr="0004361B">
        <w:rPr>
          <w:rFonts w:ascii="Century Gothic" w:hAnsi="Century Gothic"/>
          <w:sz w:val="20"/>
          <w:szCs w:val="20"/>
        </w:rPr>
        <w:t>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Wykorzystanie kart GPU nie wymaga żadnych dodatkowych modułów, procedury zawarte są w podstawowym środowisku, a konfiguracja wymaga jedynie bezpłatnych modułów firmy </w:t>
      </w:r>
      <w:proofErr w:type="spellStart"/>
      <w:r w:rsidRPr="0004361B">
        <w:rPr>
          <w:rFonts w:ascii="Century Gothic" w:hAnsi="Century Gothic"/>
          <w:sz w:val="20"/>
          <w:szCs w:val="20"/>
        </w:rPr>
        <w:t>NVidia</w:t>
      </w:r>
      <w:proofErr w:type="spellEnd"/>
      <w:r w:rsidRPr="0004361B">
        <w:rPr>
          <w:rFonts w:ascii="Century Gothic" w:hAnsi="Century Gothic"/>
          <w:sz w:val="20"/>
          <w:szCs w:val="20"/>
        </w:rPr>
        <w:t>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monitorowania postępu obliczeń.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Kompilator języka wykorzystywanego w oferowanym programie z możliwością wstrzymania funkcji w dowolnym momencie i późniejszego wznowienia.</w:t>
      </w:r>
    </w:p>
    <w:p w:rsidR="0004361B" w:rsidRPr="003877AD" w:rsidRDefault="003877AD" w:rsidP="0004361B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3877AD">
        <w:rPr>
          <w:rFonts w:ascii="Century Gothic" w:hAnsi="Century Gothic"/>
          <w:b/>
          <w:sz w:val="20"/>
          <w:szCs w:val="20"/>
        </w:rPr>
        <w:t xml:space="preserve">3. </w:t>
      </w:r>
      <w:r w:rsidR="0004361B" w:rsidRPr="003877AD">
        <w:rPr>
          <w:rFonts w:ascii="Century Gothic" w:hAnsi="Century Gothic"/>
          <w:b/>
          <w:sz w:val="20"/>
          <w:szCs w:val="20"/>
        </w:rPr>
        <w:t>Wizualizacje graficzne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Tworzenie wykresów i wysokiej jakości prezentacji graficznych, a procedury wizualizacji 2D i 3D umożliwiają programową ingerencję w każdy szczegół rysunku.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interaktywnej modyfikację prezentacji graficznych, wzorów matematycznych i struktury dokumentu, również w formie interaktywnych dokumentów pracujących poza środowiskiem programu.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Wizualizacja struktur związków chemicznych i reakcji chemicznych.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Rozbudowany zestaw procedur do analizy i wizualizacji grafów.</w:t>
      </w:r>
    </w:p>
    <w:p w:rsid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Różnorodne style renderingu używane do wizualizacji map.</w:t>
      </w:r>
    </w:p>
    <w:p w:rsidR="0004361B" w:rsidRPr="003877AD" w:rsidRDefault="003877AD" w:rsidP="0004361B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3877AD">
        <w:rPr>
          <w:rFonts w:ascii="Century Gothic" w:hAnsi="Century Gothic"/>
          <w:b/>
          <w:sz w:val="20"/>
          <w:szCs w:val="20"/>
        </w:rPr>
        <w:t xml:space="preserve">4. </w:t>
      </w:r>
      <w:r w:rsidR="0004361B" w:rsidRPr="003877AD">
        <w:rPr>
          <w:rFonts w:ascii="Century Gothic" w:hAnsi="Century Gothic"/>
          <w:b/>
          <w:sz w:val="20"/>
          <w:szCs w:val="20"/>
        </w:rPr>
        <w:t>Komunikacja i współpraca z innymi aplikacjami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Uruchamianie aplikacji tworzonych w środowisku programu poza środowiskiem ich tworzenia oraz możliwość integracji procedur z innymi środowiskami programowania, między innymi z C/C++, Java, </w:t>
      </w:r>
      <w:proofErr w:type="spellStart"/>
      <w:r w:rsidRPr="0004361B">
        <w:rPr>
          <w:rFonts w:ascii="Century Gothic" w:hAnsi="Century Gothic"/>
          <w:sz w:val="20"/>
          <w:szCs w:val="20"/>
        </w:rPr>
        <w:t>Python</w:t>
      </w:r>
      <w:proofErr w:type="spellEnd"/>
      <w:r w:rsidRPr="0004361B">
        <w:rPr>
          <w:rFonts w:ascii="Century Gothic" w:hAnsi="Century Gothic"/>
          <w:sz w:val="20"/>
          <w:szCs w:val="20"/>
        </w:rPr>
        <w:t>, .Net, …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bezpośredniej współpracy z portalami społecznościowymi i serwisami internetowymi z obsługą poczty elektronicznej i wysyłania wiadomości SMS włącznie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pracy w chmurze z dostępem do dokumentów z dowolnego miejsca poprzez przeglądarkę internetową i swobodną wymianą dokumentów pomiędzy chmurą i lokalnymi zasobami komputerowymi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Kompilacja kodu źródłowego celem przyspieszenia obliczeń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Zintegrowany dostęp do bazy danych informacji naukowych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Repozytorium funkcji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> Możliwość korzystania z bazy wiedzy (Knowledge Base)</w:t>
      </w:r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Komunikacja z systemami sztucznej inteligencji za pomocą rozbudowanego zestawu procedur LLM, w tym z systemem </w:t>
      </w:r>
      <w:proofErr w:type="spellStart"/>
      <w:r w:rsidRPr="0004361B">
        <w:rPr>
          <w:rFonts w:ascii="Century Gothic" w:hAnsi="Century Gothic"/>
          <w:sz w:val="20"/>
          <w:szCs w:val="20"/>
        </w:rPr>
        <w:t>ChatGPT</w:t>
      </w:r>
      <w:proofErr w:type="spellEnd"/>
    </w:p>
    <w:p w:rsidR="0004361B" w:rsidRPr="0004361B" w:rsidRDefault="0004361B" w:rsidP="0004361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04361B">
        <w:rPr>
          <w:rFonts w:ascii="Century Gothic" w:hAnsi="Century Gothic"/>
          <w:sz w:val="20"/>
          <w:szCs w:val="20"/>
        </w:rPr>
        <w:t xml:space="preserve"> Możliwość bezpośredniego importowania dla funkcji </w:t>
      </w:r>
      <w:proofErr w:type="spellStart"/>
      <w:r w:rsidRPr="0004361B">
        <w:rPr>
          <w:rFonts w:ascii="Century Gothic" w:hAnsi="Century Gothic"/>
          <w:sz w:val="20"/>
          <w:szCs w:val="20"/>
        </w:rPr>
        <w:t>Tabular</w:t>
      </w:r>
      <w:proofErr w:type="spellEnd"/>
      <w:r w:rsidRPr="0004361B">
        <w:rPr>
          <w:rFonts w:ascii="Century Gothic" w:hAnsi="Century Gothic"/>
          <w:sz w:val="20"/>
          <w:szCs w:val="20"/>
        </w:rPr>
        <w:t xml:space="preserve"> do wstępnego przetwarzania wyników zapytań z takich relacyjnych baz danych jak </w:t>
      </w:r>
      <w:proofErr w:type="spellStart"/>
      <w:r w:rsidRPr="0004361B">
        <w:rPr>
          <w:rFonts w:ascii="Century Gothic" w:hAnsi="Century Gothic"/>
          <w:sz w:val="20"/>
          <w:szCs w:val="20"/>
        </w:rPr>
        <w:t>SQLite</w:t>
      </w:r>
      <w:proofErr w:type="spellEnd"/>
      <w:r w:rsidRPr="0004361B">
        <w:rPr>
          <w:rFonts w:ascii="Century Gothic" w:hAnsi="Century Gothic"/>
          <w:sz w:val="20"/>
          <w:szCs w:val="20"/>
        </w:rPr>
        <w:t xml:space="preserve">, </w:t>
      </w:r>
      <w:proofErr w:type="spellStart"/>
      <w:r w:rsidRPr="0004361B">
        <w:rPr>
          <w:rFonts w:ascii="Century Gothic" w:hAnsi="Century Gothic"/>
          <w:sz w:val="20"/>
          <w:szCs w:val="20"/>
        </w:rPr>
        <w:t>Postgres</w:t>
      </w:r>
      <w:proofErr w:type="spellEnd"/>
      <w:r w:rsidRPr="0004361B">
        <w:rPr>
          <w:rFonts w:ascii="Century Gothic" w:hAnsi="Century Gothic"/>
          <w:sz w:val="20"/>
          <w:szCs w:val="20"/>
        </w:rPr>
        <w:t>, MySQL, SQL Server i Oracle.</w:t>
      </w:r>
    </w:p>
    <w:sectPr w:rsidR="0004361B" w:rsidRPr="0004361B" w:rsidSect="00AC7ECC">
      <w:headerReference w:type="default" r:id="rId7"/>
      <w:footerReference w:type="default" r:id="rId8"/>
      <w:pgSz w:w="11906" w:h="16838"/>
      <w:pgMar w:top="142" w:right="720" w:bottom="720" w:left="720" w:header="0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917E0" w:rsidRDefault="00F917E0" w:rsidP="00E03E4E">
      <w:pPr>
        <w:spacing w:after="0" w:line="240" w:lineRule="auto"/>
      </w:pPr>
      <w:r>
        <w:separator/>
      </w:r>
    </w:p>
  </w:endnote>
  <w:endnote w:type="continuationSeparator" w:id="0">
    <w:p w:rsidR="00F917E0" w:rsidRDefault="00F917E0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Humanst521EU-Bold">
    <w:altName w:val="Cambria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9146D8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9146D8" w:rsidRPr="00880076" w:rsidRDefault="009146D8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Świdnicki,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Stowarzyszenie E-Żaczek z Przerzeczyna-Zdroju</w:t>
          </w:r>
        </w:p>
      </w:tc>
    </w:tr>
  </w:tbl>
  <w:p w:rsidR="009146D8" w:rsidRDefault="009146D8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917E0" w:rsidRDefault="00F917E0" w:rsidP="00E03E4E">
      <w:pPr>
        <w:spacing w:after="0" w:line="240" w:lineRule="auto"/>
      </w:pPr>
      <w:r>
        <w:separator/>
      </w:r>
    </w:p>
  </w:footnote>
  <w:footnote w:type="continuationSeparator" w:id="0">
    <w:p w:rsidR="00F917E0" w:rsidRDefault="00F917E0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46D8" w:rsidRDefault="009146D8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9146D8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9146D8" w:rsidRPr="00233311" w:rsidRDefault="009146D8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8"/>
              <w:szCs w:val="18"/>
            </w:rPr>
          </w:pPr>
          <w:r w:rsidRPr="00233311">
            <w:rPr>
              <w:rFonts w:ascii="Arial" w:hAnsi="Arial" w:cs="Arial"/>
              <w:sz w:val="18"/>
              <w:szCs w:val="18"/>
            </w:rPr>
            <w:t>Projekt „Szkoły sukcesu edukacyjnego”</w:t>
          </w:r>
        </w:p>
        <w:p w:rsidR="009146D8" w:rsidRDefault="009146D8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9146D8" w:rsidRPr="00374CCD" w:rsidRDefault="009146D8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8504B6"/>
    <w:multiLevelType w:val="hybridMultilevel"/>
    <w:tmpl w:val="F028BD4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DD713C8"/>
    <w:multiLevelType w:val="hybridMultilevel"/>
    <w:tmpl w:val="4B1A7A90"/>
    <w:lvl w:ilvl="0" w:tplc="B942B6BE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F50304"/>
    <w:multiLevelType w:val="hybridMultilevel"/>
    <w:tmpl w:val="0DF0F4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A6BC3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EB62C3"/>
    <w:multiLevelType w:val="hybridMultilevel"/>
    <w:tmpl w:val="DDF801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43225A"/>
    <w:multiLevelType w:val="hybridMultilevel"/>
    <w:tmpl w:val="0B145894"/>
    <w:lvl w:ilvl="0" w:tplc="94A617D6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105512"/>
    <w:multiLevelType w:val="hybridMultilevel"/>
    <w:tmpl w:val="C58636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887F96"/>
    <w:multiLevelType w:val="multilevel"/>
    <w:tmpl w:val="E7B239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A9C06C3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094B25"/>
    <w:multiLevelType w:val="hybridMultilevel"/>
    <w:tmpl w:val="0046C8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1027DAC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8112BB"/>
    <w:multiLevelType w:val="multilevel"/>
    <w:tmpl w:val="94FE466A"/>
    <w:styleLink w:val="Styl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numFmt w:val="bullet"/>
      <w:lvlText w:val=""/>
      <w:lvlJc w:val="left"/>
      <w:pPr>
        <w:ind w:left="1080" w:hanging="360"/>
      </w:pPr>
      <w:rPr>
        <w:rFonts w:ascii="Symbol" w:hAnsi="Symbol"/>
        <w:color w:val="auto"/>
      </w:rPr>
    </w:lvl>
    <w:lvl w:ilvl="3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B2575B6"/>
    <w:multiLevelType w:val="hybridMultilevel"/>
    <w:tmpl w:val="37448B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4D0B2F"/>
    <w:multiLevelType w:val="hybridMultilevel"/>
    <w:tmpl w:val="6B8AEC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B155D6E"/>
    <w:multiLevelType w:val="hybridMultilevel"/>
    <w:tmpl w:val="353A7A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EC2D90"/>
    <w:multiLevelType w:val="hybridMultilevel"/>
    <w:tmpl w:val="46FCC1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A87ED0"/>
    <w:multiLevelType w:val="multilevel"/>
    <w:tmpl w:val="42122B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A0A1A5D"/>
    <w:multiLevelType w:val="multilevel"/>
    <w:tmpl w:val="42122B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15"/>
  </w:num>
  <w:num w:numId="3">
    <w:abstractNumId w:val="14"/>
  </w:num>
  <w:num w:numId="4">
    <w:abstractNumId w:val="12"/>
  </w:num>
  <w:num w:numId="5">
    <w:abstractNumId w:val="2"/>
  </w:num>
  <w:num w:numId="6">
    <w:abstractNumId w:val="4"/>
  </w:num>
  <w:num w:numId="7">
    <w:abstractNumId w:val="10"/>
  </w:num>
  <w:num w:numId="8">
    <w:abstractNumId w:val="3"/>
  </w:num>
  <w:num w:numId="9">
    <w:abstractNumId w:val="0"/>
  </w:num>
  <w:num w:numId="10">
    <w:abstractNumId w:val="1"/>
  </w:num>
  <w:num w:numId="11">
    <w:abstractNumId w:val="5"/>
  </w:num>
  <w:num w:numId="12">
    <w:abstractNumId w:val="8"/>
  </w:num>
  <w:num w:numId="13">
    <w:abstractNumId w:val="6"/>
  </w:num>
  <w:num w:numId="14">
    <w:abstractNumId w:val="17"/>
  </w:num>
  <w:num w:numId="15">
    <w:abstractNumId w:val="11"/>
  </w:num>
  <w:num w:numId="16">
    <w:abstractNumId w:val="11"/>
    <w:lvlOverride w:ilvl="0">
      <w:startOverride w:val="1"/>
    </w:lvlOverride>
    <w:lvlOverride w:ilvl="1">
      <w:startOverride w:val="1"/>
    </w:lvlOverride>
    <w:lvlOverride w:ilvl="2"/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</w:num>
  <w:num w:numId="18">
    <w:abstractNumId w:val="9"/>
  </w:num>
  <w:num w:numId="1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233E"/>
    <w:rsid w:val="0004361B"/>
    <w:rsid w:val="00053705"/>
    <w:rsid w:val="0009687B"/>
    <w:rsid w:val="001812C2"/>
    <w:rsid w:val="001C7DF3"/>
    <w:rsid w:val="001E30A2"/>
    <w:rsid w:val="00233311"/>
    <w:rsid w:val="00236F13"/>
    <w:rsid w:val="002558F1"/>
    <w:rsid w:val="00260264"/>
    <w:rsid w:val="002B0427"/>
    <w:rsid w:val="00322CB1"/>
    <w:rsid w:val="00326A65"/>
    <w:rsid w:val="00351DFC"/>
    <w:rsid w:val="00367003"/>
    <w:rsid w:val="00374CCD"/>
    <w:rsid w:val="003877AD"/>
    <w:rsid w:val="003E073C"/>
    <w:rsid w:val="00412294"/>
    <w:rsid w:val="00440903"/>
    <w:rsid w:val="00451ADB"/>
    <w:rsid w:val="00510A2A"/>
    <w:rsid w:val="00537867"/>
    <w:rsid w:val="00556D95"/>
    <w:rsid w:val="005F2714"/>
    <w:rsid w:val="00636D3F"/>
    <w:rsid w:val="006C253E"/>
    <w:rsid w:val="006C59D7"/>
    <w:rsid w:val="006E54C7"/>
    <w:rsid w:val="007D27D9"/>
    <w:rsid w:val="00806596"/>
    <w:rsid w:val="00880076"/>
    <w:rsid w:val="00885664"/>
    <w:rsid w:val="008C29CA"/>
    <w:rsid w:val="008C7057"/>
    <w:rsid w:val="009146D8"/>
    <w:rsid w:val="009567C0"/>
    <w:rsid w:val="009B4387"/>
    <w:rsid w:val="009C02E1"/>
    <w:rsid w:val="009D1D45"/>
    <w:rsid w:val="00A56A18"/>
    <w:rsid w:val="00A86E71"/>
    <w:rsid w:val="00AB17BB"/>
    <w:rsid w:val="00AC7ECC"/>
    <w:rsid w:val="00B073AE"/>
    <w:rsid w:val="00B15BEF"/>
    <w:rsid w:val="00B21B6C"/>
    <w:rsid w:val="00B357E8"/>
    <w:rsid w:val="00BD485E"/>
    <w:rsid w:val="00BE12AB"/>
    <w:rsid w:val="00BF4CE9"/>
    <w:rsid w:val="00C62588"/>
    <w:rsid w:val="00C638D3"/>
    <w:rsid w:val="00C71EFD"/>
    <w:rsid w:val="00CB5D70"/>
    <w:rsid w:val="00D41463"/>
    <w:rsid w:val="00E03E4E"/>
    <w:rsid w:val="00E27651"/>
    <w:rsid w:val="00EA6BAF"/>
    <w:rsid w:val="00EB0830"/>
    <w:rsid w:val="00EE2BE5"/>
    <w:rsid w:val="00F917E0"/>
    <w:rsid w:val="00FB398C"/>
    <w:rsid w:val="00FB768E"/>
    <w:rsid w:val="00FF0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5C9DE8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F0C0F"/>
    <w:pPr>
      <w:spacing w:after="200" w:line="276" w:lineRule="auto"/>
    </w:pPr>
    <w:rPr>
      <w:rFonts w:eastAsiaTheme="minorEastAsia"/>
      <w:color w:val="00000A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F0C0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F0C0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F0C0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F0C0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F0C0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F0C0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F0C0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F0C0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F0C0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FF0C0F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F0C0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F0C0F"/>
    <w:rPr>
      <w:rFonts w:eastAsiaTheme="majorEastAsia" w:cstheme="majorBidi"/>
      <w:color w:val="2F5496" w:themeColor="accent1" w:themeShade="BF"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F0C0F"/>
    <w:rPr>
      <w:rFonts w:eastAsiaTheme="majorEastAsia" w:cstheme="majorBidi"/>
      <w:i/>
      <w:iCs/>
      <w:color w:val="2F5496" w:themeColor="accent1" w:themeShade="BF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F0C0F"/>
    <w:rPr>
      <w:rFonts w:eastAsiaTheme="majorEastAsia" w:cstheme="majorBidi"/>
      <w:color w:val="2F5496" w:themeColor="accent1" w:themeShade="BF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F0C0F"/>
    <w:rPr>
      <w:rFonts w:eastAsiaTheme="majorEastAsia" w:cstheme="majorBidi"/>
      <w:i/>
      <w:iCs/>
      <w:color w:val="595959" w:themeColor="text1" w:themeTint="A6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F0C0F"/>
    <w:rPr>
      <w:rFonts w:eastAsiaTheme="majorEastAsia" w:cstheme="majorBidi"/>
      <w:color w:val="595959" w:themeColor="text1" w:themeTint="A6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F0C0F"/>
    <w:rPr>
      <w:rFonts w:eastAsiaTheme="majorEastAsia" w:cstheme="majorBidi"/>
      <w:i/>
      <w:iCs/>
      <w:color w:val="272727" w:themeColor="text1" w:themeTint="D8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F0C0F"/>
    <w:rPr>
      <w:rFonts w:eastAsiaTheme="majorEastAsia" w:cstheme="majorBidi"/>
      <w:color w:val="272727" w:themeColor="text1" w:themeTint="D8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F0C0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F0C0F"/>
    <w:rPr>
      <w:rFonts w:asciiTheme="majorHAnsi" w:eastAsiaTheme="majorEastAsia" w:hAnsiTheme="majorHAnsi" w:cstheme="majorBidi"/>
      <w:color w:val="00000A"/>
      <w:spacing w:val="-10"/>
      <w:kern w:val="28"/>
      <w:sz w:val="56"/>
      <w:szCs w:val="56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F0C0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F0C0F"/>
    <w:rPr>
      <w:rFonts w:eastAsiaTheme="majorEastAsia" w:cstheme="majorBidi"/>
      <w:color w:val="595959" w:themeColor="text1" w:themeTint="A6"/>
      <w:spacing w:val="15"/>
      <w:sz w:val="28"/>
      <w:szCs w:val="28"/>
      <w:lang w:eastAsia="pl-PL"/>
    </w:rPr>
  </w:style>
  <w:style w:type="paragraph" w:styleId="Cytat">
    <w:name w:val="Quote"/>
    <w:basedOn w:val="Normalny"/>
    <w:next w:val="Normalny"/>
    <w:link w:val="CytatZnak"/>
    <w:uiPriority w:val="29"/>
    <w:qFormat/>
    <w:rsid w:val="00FF0C0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F0C0F"/>
    <w:rPr>
      <w:rFonts w:eastAsiaTheme="minorEastAsia"/>
      <w:i/>
      <w:iCs/>
      <w:color w:val="404040" w:themeColor="text1" w:themeTint="BF"/>
      <w:lang w:eastAsia="pl-PL"/>
    </w:rPr>
  </w:style>
  <w:style w:type="paragraph" w:styleId="Akapitzlist">
    <w:name w:val="List Paragraph"/>
    <w:basedOn w:val="Normalny"/>
    <w:qFormat/>
    <w:rsid w:val="00FF0C0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F0C0F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F0C0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F0C0F"/>
    <w:rPr>
      <w:rFonts w:eastAsiaTheme="minorEastAsia"/>
      <w:i/>
      <w:iCs/>
      <w:color w:val="2F5496" w:themeColor="accent1" w:themeShade="BF"/>
      <w:lang w:eastAsia="pl-PL"/>
    </w:rPr>
  </w:style>
  <w:style w:type="character" w:styleId="Odwoanieintensywne">
    <w:name w:val="Intense Reference"/>
    <w:basedOn w:val="Domylnaczcionkaakapitu"/>
    <w:uiPriority w:val="32"/>
    <w:qFormat/>
    <w:rsid w:val="00FF0C0F"/>
    <w:rPr>
      <w:b/>
      <w:bCs/>
      <w:smallCaps/>
      <w:color w:val="2F5496" w:themeColor="accent1" w:themeShade="BF"/>
      <w:spacing w:val="5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F0C0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F0C0F"/>
    <w:rPr>
      <w:rFonts w:eastAsiaTheme="minorEastAsia"/>
      <w:color w:val="00000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F0C0F"/>
    <w:rPr>
      <w:vertAlign w:val="superscript"/>
    </w:rPr>
  </w:style>
  <w:style w:type="paragraph" w:customStyle="1" w:styleId="Textbody">
    <w:name w:val="Text body"/>
    <w:basedOn w:val="Normalny"/>
    <w:rsid w:val="009C02E1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NormalnyWeb">
    <w:name w:val="Normal (Web)"/>
    <w:basedOn w:val="Normalny"/>
    <w:unhideWhenUsed/>
    <w:rsid w:val="001E30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1E30A2"/>
    <w:rPr>
      <w:b/>
      <w:bCs/>
    </w:rPr>
  </w:style>
  <w:style w:type="character" w:customStyle="1" w:styleId="fontstyle01">
    <w:name w:val="fontstyle01"/>
    <w:basedOn w:val="Domylnaczcionkaakapitu"/>
    <w:rsid w:val="001E30A2"/>
    <w:rPr>
      <w:rFonts w:ascii="Humanst521EU-Bold" w:hAnsi="Humanst521EU-Bold" w:hint="default"/>
      <w:b/>
      <w:bCs/>
      <w:i w:val="0"/>
      <w:iCs w:val="0"/>
      <w:color w:val="242021"/>
      <w:sz w:val="18"/>
      <w:szCs w:val="18"/>
    </w:rPr>
  </w:style>
  <w:style w:type="numbering" w:customStyle="1" w:styleId="Styl1">
    <w:name w:val="Styl1"/>
    <w:rsid w:val="001E30A2"/>
    <w:pPr>
      <w:numPr>
        <w:numId w:val="15"/>
      </w:numPr>
    </w:pPr>
  </w:style>
  <w:style w:type="paragraph" w:styleId="Bezodstpw">
    <w:name w:val="No Spacing"/>
    <w:uiPriority w:val="1"/>
    <w:qFormat/>
    <w:rsid w:val="001E30A2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3</Pages>
  <Words>1033</Words>
  <Characters>6199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7218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6</cp:revision>
  <cp:lastPrinted>2025-04-23T09:52:00Z</cp:lastPrinted>
  <dcterms:created xsi:type="dcterms:W3CDTF">2025-11-26T09:07:00Z</dcterms:created>
  <dcterms:modified xsi:type="dcterms:W3CDTF">2025-11-27T13:38:00Z</dcterms:modified>
</cp:coreProperties>
</file>